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4FB" w:rsidRPr="006E241A" w:rsidRDefault="006E24FB" w:rsidP="006E241A">
      <w:pPr>
        <w:jc w:val="center"/>
        <w:rPr>
          <w:b/>
          <w:sz w:val="28"/>
        </w:rPr>
      </w:pPr>
      <w:r w:rsidRPr="006E241A">
        <w:rPr>
          <w:b/>
          <w:sz w:val="28"/>
        </w:rPr>
        <w:t>Este AMH -ul un predictor independent al sarcinilor clinice in fertilizarea in vitro</w:t>
      </w:r>
    </w:p>
    <w:p w:rsidR="006E24FB" w:rsidRPr="00853787" w:rsidRDefault="006E24FB" w:rsidP="006E24FB">
      <w:r>
        <w:t>Dragos Albu</w:t>
      </w:r>
      <w:r>
        <w:rPr>
          <w:vertAlign w:val="superscript"/>
        </w:rPr>
        <w:t>1,2</w:t>
      </w:r>
      <w:r>
        <w:t>, Alice Albu</w:t>
      </w:r>
      <w:r>
        <w:rPr>
          <w:vertAlign w:val="superscript"/>
        </w:rPr>
        <w:t>1,3</w:t>
      </w:r>
    </w:p>
    <w:p w:rsidR="006E24FB" w:rsidRDefault="006E24FB" w:rsidP="006E24FB">
      <w:r>
        <w:rPr>
          <w:vertAlign w:val="superscript"/>
        </w:rPr>
        <w:t xml:space="preserve">1 </w:t>
      </w:r>
      <w:r>
        <w:t>UMF „Carol Davila”, Bucuresti</w:t>
      </w:r>
    </w:p>
    <w:p w:rsidR="006E24FB" w:rsidRDefault="006E24FB" w:rsidP="006E24FB">
      <w:r>
        <w:rPr>
          <w:vertAlign w:val="superscript"/>
        </w:rPr>
        <w:t xml:space="preserve">2 </w:t>
      </w:r>
      <w:r>
        <w:t>MedLife, Bucuresti</w:t>
      </w:r>
    </w:p>
    <w:p w:rsidR="006E24FB" w:rsidRDefault="006E24FB" w:rsidP="006E24FB">
      <w:r>
        <w:rPr>
          <w:vertAlign w:val="superscript"/>
        </w:rPr>
        <w:t xml:space="preserve">3 </w:t>
      </w:r>
      <w:r>
        <w:t>Elias Hospital</w:t>
      </w:r>
    </w:p>
    <w:p w:rsidR="006E24FB" w:rsidRDefault="006E24FB" w:rsidP="006E24FB"/>
    <w:p w:rsidR="006E24FB" w:rsidRDefault="006E24FB" w:rsidP="006E24FB">
      <w:r>
        <w:t xml:space="preserve">Objective: To evaluate If AMH independently associated with in vitro fertilisation outcome. AMH is associated with the outcome of assisted reproductive treatment, but the parameters influenced by pre-treatment AMH value are inconsistently reported across studies. </w:t>
      </w:r>
    </w:p>
    <w:p w:rsidR="006E24FB" w:rsidRDefault="006E24FB" w:rsidP="006E24FB">
      <w:r>
        <w:t xml:space="preserve">Design: We performed a prospective study which included 417 infertile female patients consecutively treated for infertility with IVF between January 2014 – December 2015. </w:t>
      </w:r>
    </w:p>
    <w:p w:rsidR="006E24FB" w:rsidRDefault="006E24FB" w:rsidP="006E24FB">
      <w:r>
        <w:t xml:space="preserve">Material and methods: The participants were female patients with infertility treated with IVF in an outpatients clinic of a private Hospital. All the patients received a long agonist protocol, fixed dose. We used the same culture system in all cases and a maximum of three embryos were transferred.  </w:t>
      </w:r>
    </w:p>
    <w:p w:rsidR="006E24FB" w:rsidRDefault="006E24FB" w:rsidP="006E24FB">
      <w:r>
        <w:t xml:space="preserve">Main results and the role of chance: Our study did not took into account the subgroups according to infertility cause.   Our data suggests that other factors besides AMH contribute to the clinical pregnacy rate and further studies are necessary to indentify these parameters.  </w:t>
      </w:r>
    </w:p>
    <w:p w:rsidR="006E24FB" w:rsidRDefault="006E24FB" w:rsidP="006E24FB">
      <w:r>
        <w:t>Conclusion  AMH is an independent predictor of the number of oocytes retrived and fertilised, but not of the biochemical and clinical pregnacy rate</w:t>
      </w:r>
    </w:p>
    <w:p w:rsidR="006E24FB" w:rsidRDefault="006E24FB" w:rsidP="006E24FB">
      <w:r>
        <w:t>Study funding/competing interest(s) none</w:t>
      </w:r>
    </w:p>
    <w:sectPr w:rsidR="006E24FB"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savePreviewPicture/>
  <w:compat/>
  <w:rsids>
    <w:rsidRoot w:val="006E24FB"/>
    <w:rsid w:val="00172815"/>
    <w:rsid w:val="00206D8F"/>
    <w:rsid w:val="002358FA"/>
    <w:rsid w:val="00291FEF"/>
    <w:rsid w:val="0036114D"/>
    <w:rsid w:val="00421ECB"/>
    <w:rsid w:val="00653E62"/>
    <w:rsid w:val="006E241A"/>
    <w:rsid w:val="006E24FB"/>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2016-10-11T14:10:00Z</dcterms:created>
  <dcterms:modified xsi:type="dcterms:W3CDTF">2016-10-11T14:12:00Z</dcterms:modified>
</cp:coreProperties>
</file>